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3" w:rsidRPr="009222F3" w:rsidRDefault="009222F3" w:rsidP="009222F3">
      <w:pPr>
        <w:jc w:val="center"/>
        <w:rPr>
          <w:rFonts w:ascii="Times New Roman" w:hAnsi="Times New Roman" w:cs="Times New Roman"/>
        </w:rPr>
      </w:pPr>
      <w:r w:rsidRPr="009222F3">
        <w:rPr>
          <w:rFonts w:ascii="Times New Roman" w:hAnsi="Times New Roman" w:cs="Times New Roman"/>
        </w:rPr>
        <w:t>НЕГОСУДАРСТВЕННОЕ ОБРАЗОВАТЕЛЬНОЕ УЧРЕЖДЕНИЕ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</w:rPr>
      </w:pPr>
      <w:r w:rsidRPr="009222F3">
        <w:rPr>
          <w:rFonts w:ascii="Times New Roman" w:hAnsi="Times New Roman" w:cs="Times New Roman"/>
        </w:rPr>
        <w:t>СРЕДНЕГО ПРОФЕССИОНАЛЬНОГО ОБРАЗОВАНИЯ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</w:rPr>
      </w:pPr>
      <w:r w:rsidRPr="009222F3">
        <w:rPr>
          <w:rFonts w:ascii="Times New Roman" w:hAnsi="Times New Roman" w:cs="Times New Roman"/>
        </w:rPr>
        <w:t>ИЖЕВСКИЙ РЕГИОНАЛЬНЫЙ ТЕХНИКУМ ГРАДОСТРОИТЕЛЬСТВА, ЭКОНОМИКИ И ПРАВА ИЖГСХА</w:t>
      </w:r>
    </w:p>
    <w:p w:rsidR="009222F3" w:rsidRPr="009222F3" w:rsidRDefault="009222F3" w:rsidP="009222F3">
      <w:pPr>
        <w:shd w:val="clear" w:color="auto" w:fill="FFFFFF"/>
        <w:spacing w:line="371" w:lineRule="exact"/>
        <w:ind w:left="3175" w:firstLine="1724"/>
        <w:jc w:val="center"/>
        <w:rPr>
          <w:rFonts w:ascii="Times New Roman" w:hAnsi="Times New Roman" w:cs="Times New Roman"/>
          <w:spacing w:val="-6"/>
        </w:rPr>
      </w:pPr>
    </w:p>
    <w:p w:rsidR="009222F3" w:rsidRPr="009222F3" w:rsidRDefault="009222F3" w:rsidP="009222F3">
      <w:pPr>
        <w:shd w:val="clear" w:color="auto" w:fill="FFFFFF"/>
        <w:spacing w:line="371" w:lineRule="exact"/>
        <w:ind w:left="3175" w:firstLine="1724"/>
        <w:rPr>
          <w:rFonts w:ascii="Times New Roman" w:hAnsi="Times New Roman" w:cs="Times New Roman"/>
          <w:spacing w:val="-6"/>
        </w:rPr>
      </w:pPr>
    </w:p>
    <w:p w:rsidR="009222F3" w:rsidRPr="009222F3" w:rsidRDefault="009222F3" w:rsidP="009222F3">
      <w:pPr>
        <w:shd w:val="clear" w:color="auto" w:fill="FFFFFF"/>
        <w:spacing w:line="371" w:lineRule="exact"/>
        <w:ind w:left="3175" w:firstLine="1724"/>
        <w:rPr>
          <w:rFonts w:ascii="Times New Roman" w:hAnsi="Times New Roman" w:cs="Times New Roman"/>
          <w:spacing w:val="-6"/>
        </w:rPr>
      </w:pPr>
    </w:p>
    <w:p w:rsidR="009222F3" w:rsidRPr="009222F3" w:rsidRDefault="009222F3" w:rsidP="009222F3">
      <w:pPr>
        <w:shd w:val="clear" w:color="auto" w:fill="FFFFFF"/>
        <w:spacing w:line="371" w:lineRule="exact"/>
        <w:ind w:left="3175" w:firstLine="1724"/>
        <w:rPr>
          <w:rFonts w:ascii="Times New Roman" w:hAnsi="Times New Roman" w:cs="Times New Roman"/>
          <w:spacing w:val="-6"/>
        </w:rPr>
      </w:pPr>
    </w:p>
    <w:p w:rsidR="009222F3" w:rsidRPr="009222F3" w:rsidRDefault="009222F3" w:rsidP="009222F3">
      <w:pPr>
        <w:shd w:val="clear" w:color="auto" w:fill="FFFFFF"/>
        <w:spacing w:line="371" w:lineRule="exact"/>
        <w:rPr>
          <w:rFonts w:ascii="Times New Roman" w:hAnsi="Times New Roman" w:cs="Times New Roman"/>
          <w:spacing w:val="-6"/>
        </w:rPr>
      </w:pP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/>
          <w:bCs/>
        </w:rPr>
      </w:pPr>
      <w:r w:rsidRPr="009222F3">
        <w:rPr>
          <w:rFonts w:ascii="Times New Roman" w:hAnsi="Times New Roman" w:cs="Times New Roman"/>
          <w:b/>
          <w:bCs/>
        </w:rPr>
        <w:t>МЕТОДИЧЕСКИЕ УКАЗАНИЯ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выполнению курсовой работы по ПМ.04 Определение стоимости недвижимого имущества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/>
          <w:bCs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rPr>
          <w:rFonts w:ascii="Times New Roman" w:hAnsi="Times New Roman" w:cs="Times New Roman"/>
        </w:rPr>
      </w:pP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Cs/>
        </w:rPr>
      </w:pP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Cs/>
        </w:rPr>
      </w:pP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Cs/>
        </w:rPr>
      </w:pP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Cs/>
        </w:rPr>
      </w:pPr>
      <w:r w:rsidRPr="009222F3">
        <w:rPr>
          <w:rFonts w:ascii="Times New Roman" w:hAnsi="Times New Roman" w:cs="Times New Roman"/>
          <w:bCs/>
        </w:rPr>
        <w:t>Ижевск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  <w:bCs/>
        </w:rPr>
      </w:pPr>
      <w:r w:rsidRPr="009222F3">
        <w:rPr>
          <w:rFonts w:ascii="Times New Roman" w:hAnsi="Times New Roman" w:cs="Times New Roman"/>
          <w:bCs/>
        </w:rPr>
        <w:t>2013</w:t>
      </w:r>
    </w:p>
    <w:p w:rsidR="009222F3" w:rsidRPr="009222F3" w:rsidRDefault="009222F3" w:rsidP="009222F3">
      <w:pPr>
        <w:jc w:val="center"/>
        <w:rPr>
          <w:rFonts w:ascii="Times New Roman" w:hAnsi="Times New Roman" w:cs="Times New Roman"/>
        </w:rPr>
        <w:sectPr w:rsidR="009222F3" w:rsidRPr="009222F3">
          <w:headerReference w:type="default" r:id="rId8"/>
          <w:pgSz w:w="11909" w:h="16834"/>
          <w:pgMar w:top="1134" w:right="941" w:bottom="993" w:left="1513" w:header="720" w:footer="720" w:gutter="0"/>
          <w:pgNumType w:start="1"/>
          <w:cols w:space="60"/>
          <w:noEndnote/>
          <w:titlePg/>
        </w:sect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9222F3" w:rsidRPr="009222F3" w:rsidTr="00600A60">
        <w:tc>
          <w:tcPr>
            <w:tcW w:w="4608" w:type="dxa"/>
          </w:tcPr>
          <w:p w:rsidR="009222F3" w:rsidRPr="009222F3" w:rsidRDefault="009222F3" w:rsidP="0060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9222F3" w:rsidRPr="009222F3" w:rsidRDefault="009222F3" w:rsidP="00600A60">
            <w:pPr>
              <w:rPr>
                <w:rFonts w:ascii="Times New Roman" w:hAnsi="Times New Roman" w:cs="Times New Roman"/>
              </w:rPr>
            </w:pPr>
          </w:p>
        </w:tc>
      </w:tr>
    </w:tbl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6655A0" w:rsidRDefault="006655A0" w:rsidP="009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Содержание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Общая часть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Состав и порядок выполнения работы                </w:t>
      </w:r>
    </w:p>
    <w:p w:rsidR="008260B9" w:rsidRPr="006655A0" w:rsidRDefault="009222F3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</w:t>
      </w:r>
      <w:r w:rsidR="008260B9"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Содержание основных разделов курсовой работы и методические указания по их выполнению 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3.1. Введение 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3.2. Постановка задачи оценки             </w:t>
      </w:r>
    </w:p>
    <w:p w:rsidR="008260B9" w:rsidRPr="006655A0" w:rsidRDefault="009222F3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3.3.</w:t>
      </w:r>
      <w:r w:rsidR="008260B9"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Анализ лучшего и наиболее эффективногоиспользования недвижимости            </w:t>
      </w:r>
    </w:p>
    <w:p w:rsidR="008260B9" w:rsidRPr="006655A0" w:rsidRDefault="009222F3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3.4.</w:t>
      </w:r>
      <w:r w:rsidR="008260B9"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Определение стоимости здания различными подходами к оценке недвижимости                     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3.4.1. Использование затратного подхода                    </w:t>
      </w:r>
    </w:p>
    <w:p w:rsidR="008260B9" w:rsidRPr="006655A0" w:rsidRDefault="008260B9" w:rsidP="009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3.4.2. Использование сравнительного подхода                         </w:t>
      </w:r>
    </w:p>
    <w:p w:rsidR="008260B9" w:rsidRPr="006655A0" w:rsidRDefault="008260B9" w:rsidP="009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3.4.3. Использование доходного подхода               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3.5. Сведение стоимостных показателей в итоговую оценку стоимости недвижимости             </w:t>
      </w:r>
    </w:p>
    <w:p w:rsidR="008260B9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3.6. Заключение</w:t>
      </w:r>
    </w:p>
    <w:p w:rsidR="0019047D" w:rsidRDefault="0019047D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Приложение</w:t>
      </w:r>
    </w:p>
    <w:p w:rsidR="0019047D" w:rsidRPr="006655A0" w:rsidRDefault="0019047D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Примерные темы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655A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Список литературы  </w:t>
      </w: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6655A0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0620E" w:rsidRDefault="0080620E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222F3" w:rsidRDefault="009222F3">
      <w:pP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 w:type="page"/>
      </w:r>
    </w:p>
    <w:p w:rsidR="008260B9" w:rsidRPr="00E57337" w:rsidRDefault="008260B9" w:rsidP="009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lastRenderedPageBreak/>
        <w:t>1. ОБЩАЯ ЧАСТЬ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Методические указания составлены для выполнения курсовойработы при изучении </w:t>
      </w:r>
      <w:r w:rsidR="009222F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МДК.04.01 «Оценка недвижимого имущества» в рамках ПМ.04 Определение стоимости недвижимого имущества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Настоящая курсовая работа предусмотрена учебными планамиподготовки студентов по специальности </w:t>
      </w:r>
      <w:r w:rsidR="009222F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120714 «Земельно-имущественные отношения» 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всех формобучения.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Целью данной курсовой работы является закрепление теоретических знаний и приобретение практических навыков в областиэкономики и оценки недвижимости на основе самостоятельногоизучения и обобщения законодательных актов и специальнойэкономической литературы, проведение расчетов по определениюстоимости объекта недвижимости.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Курсовая работа должна выполняться в соответствии с рекомендациями, изложенными в настоящих методических указаниях, сиспользованием содержащихся в составе задания исходных данных.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9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2. СОСТАВ И ПОРЯДОК ВЫПОЛНЕНИЯ РАБОТЫ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Курсовая работа состоит из введения, четырех разделов, заключения и списка литературы.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В курсовой работе необходимо раскрыть используемый понятийный аппарат. Таблицы и рисунки, содержащиеся в работе,должны иметь соответствующие ссылки и расшифровки условныхобозначений. После занесения результатов проведенных расчетов втаблицы,     необходимо    представить    примеры   выполнениясоответствующих вычислений.</w:t>
      </w:r>
    </w:p>
    <w:p w:rsidR="008260B9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В конце каждого раздела работы необходимо сформулироватьосновные выводы, отражающие мнение студента относительнополученных результатов.</w:t>
      </w:r>
    </w:p>
    <w:p w:rsidR="00E57337" w:rsidRPr="00E11D68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3. СОДЕРЖАНИЕ ОСНОВНЫХ РАЗДЕЛОВКУРСОВОЙ РАБОТЫ И МЕТОДИЧЕСКИЕ УКАЗАНИЯ ПО ИХ ВЫПОЛНЕНИЮ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3.1. Введение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Во введении к курсовой работе следует дать определениенедвижимости и рынка недвижимости, показать актуальностьоценочной деятельности и ее нормативное обеспечение, назначение ииспользование результатов оценки. Привести цель и задачи курсовойработы. Описать предмет, объект исследования и краткое содержаниепо отдельным разделам.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3.2. Постановка задачи оценки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Начальным этапом процесса оценки является постановка задачиоценки. На данном этапе выявляется базовая информация,определяющая весь процесс оценки. Этап включает следующуюпоследовательность действий:</w:t>
      </w:r>
    </w:p>
    <w:p w:rsidR="00EB7C72" w:rsidRPr="00EB7C72" w:rsidRDefault="00E57337" w:rsidP="00EB7C72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r w:rsidR="008260B9" w:rsidRPr="00EB7C7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дентифицируется и описывается объект оценки</w:t>
      </w:r>
      <w:r w:rsidR="00EB7C72" w:rsidRPr="00EB7C7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  </w:t>
      </w:r>
    </w:p>
    <w:p w:rsidR="00EB7C72" w:rsidRPr="00E11D68" w:rsidRDefault="00EB7C72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B7C7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Идентификация объ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екта оценки должна включать сле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дующие сведения: функционал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ьное назначение здания (опреде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ляется после анализа лучшего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наиболее эффективного исполь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зования недвижимости), ра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йон местоположения и адрес (по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следний устанавливается абстрактно).</w:t>
      </w:r>
    </w:p>
    <w:p w:rsidR="00EB7C72" w:rsidRPr="00E11D68" w:rsidRDefault="00EB7C72" w:rsidP="00EB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Описывается здание: характер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истики, площадь, конструктивные 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особенности, этажность, тр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анспортная доступность, наличие 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оборудования, состояние (опреде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ляется после оценки физического 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износа).</w:t>
      </w:r>
    </w:p>
    <w:p w:rsidR="00E57337" w:rsidRDefault="00EB7C72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    Описывается земельный участок, на котором расположеноздание: площадь, наличие асфа</w:t>
      </w:r>
      <w:r w:rsidR="00D429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льтобетонного покрытия, несущая 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способность грунтов.</w:t>
      </w:r>
    </w:p>
    <w:p w:rsidR="00E57337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2) У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станавливаются оцениваемые имущественные права.Объекты недвижимости мог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ут иметь различные правовые 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режимы (собственность, аренда и т.д.), каждый из которых     будет име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ть различную величину стоимости</w:t>
      </w:r>
    </w:p>
    <w:p w:rsidR="00E57337" w:rsidRDefault="00EB7C72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3) 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казывается дата оценки (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дата оценки (число, месяц, год) может быть установлена по дате выполнения курсовой работы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</w:p>
    <w:p w:rsidR="00E57337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4) О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писывается цель оценки, котора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 определяет возмож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ность использования резу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льтатов оценки. Недвижимость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является объектом различных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сделок. Оценка производит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ся всегда с какой-либо конкр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етной целью (купля-продажа, 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залог, исчислени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 налогов, страхование и т.д.)</w:t>
      </w:r>
    </w:p>
    <w:p w:rsidR="00E57337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О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пределяется вид оценивае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мой стоимости, соответствую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щий цели оценки. Один и тот же объект недвижимости     может иметь ряд отличных по величине видов стоимости.     Во избежание неверного тр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актования результатов оценки, 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оцениваемый вид стоимости долж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ен указываться</w:t>
      </w:r>
    </w:p>
    <w:p w:rsidR="00D429A1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6) 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тражаются другие условия проведения оценки.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3.3. Анализ лучшего и наиболее эффективного пользования недвижимости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При выполнении данного раздела необходимо изучить сущностьпринципа лучшего и наиболее эффективного использования (ЛНЭИ)недвижимости, его обязательные критерии и этапы анализа.     При выполнении курсовой работы следует исходить из того, чтовариант использования земли уже является наилучшим.     При анализе ЛНЭИ здания необходимо изучить соответствиеварианта использования необходимым критериям:</w:t>
      </w:r>
    </w:p>
    <w:p w:rsidR="008260B9" w:rsidRPr="00E11D68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1) З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аконодательная разрешенность. Предполагается, чтооцениваемое здание не нарушает действующие нормы 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законодательство.</w:t>
      </w:r>
    </w:p>
    <w:p w:rsidR="008260B9" w:rsidRPr="00E11D68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2) Ф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изическая осуществимость. Анализируются возможныеварианты использования в соответствии с конструктивными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особенностями здания.</w:t>
      </w:r>
    </w:p>
    <w:p w:rsidR="008260B9" w:rsidRPr="00E11D68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3) Э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кономическая целесообразность. Обоснование с точкизрения окупаемости инвестированного капитала. Оцениваетсявозможная доходность для каждого законодательно разрешенного и физически осуществимого варианта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использования здания.</w:t>
      </w:r>
    </w:p>
    <w:p w:rsidR="008260B9" w:rsidRPr="00E11D68" w:rsidRDefault="00E57337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4) М</w:t>
      </w:r>
      <w:r w:rsidR="008260B9"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аксимальная доходность. Выбор из всех законодательно разрешенных, физически осуществимых и экономически целесообразных вариантов использования такого варианта, который обеспечивает максимальную доходность, а следовательно, имаксимальную текущую стоимость.</w:t>
      </w:r>
    </w:p>
    <w:p w:rsidR="008260B9" w:rsidRPr="00E11D68" w:rsidRDefault="008260B9" w:rsidP="00EB7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В подтверждение выбранного варианта использования в данномразделе также необходимо подробно описать местоположениеобъекта оценки и соседнее окружение (соседние здания,инфраструктура и т.д.). 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В заключение раздела делается вывод о функциональномназначении оцениваемого объекта.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3.4. Определение стоимости здания различными подходами коценке недвижимости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Традиционными подходами определения стоимости недвижимости являются затратный, сравнительный и доходный. В рамкахкаждого подхода используются определенные методы расчета. Врезультате применения этих подходов получаются три различныевеличины стоимости одного и того же объекта, на основании которыхопределяется итоговая величина стоимости.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57337" w:rsidRDefault="008260B9" w:rsidP="00E5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</w:pPr>
      <w:r w:rsidRPr="00E57337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t>3.4.1. Использование затратного подхода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   Затратный подход осно</w:t>
      </w:r>
      <w:r w:rsidR="00E573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ван на определении стоимости не</w:t>
      </w: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движимости исходя из стоимости земельного участка и затрат навозведение имеющихся на нем улучшений за вычетом накопленногоизноса. Основная расчетная формула: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Сзп = Сз + Снс-Ин,                        (1)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где Сзп - стоимость объекта недвижимости, определенная в рамках затратного подхода, тыс. р.;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Сз - стоимость земельного участка, тыс. р.;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Снс - стоимость нового строительства здания, тыс. р.;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Ин - накопленный зданием износ, тыс. р.</w:t>
      </w:r>
    </w:p>
    <w:p w:rsidR="008260B9" w:rsidRPr="00E11D68" w:rsidRDefault="008260B9" w:rsidP="00E1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260B9" w:rsidRPr="00E11D68" w:rsidRDefault="008260B9" w:rsidP="00D4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Для оценки стоимости земельного участка используется методпрямого сравнения продаж. По своей сути, данный метод относитсяк сравнительному подходу, однако его расчетные моделииспользуются и в других подходах. В частности, в рамках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затратного подхода необходимо оценить величину затрат, необходимых на приобретение земельного участка под строительство.Для этого анализируются цены аналогичных участков. При этом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имеющиеся различия между сравниваемыми объектамикорректируются путем введения соответствующих поправок.</w:t>
      </w:r>
    </w:p>
    <w:p w:rsidR="008260B9" w:rsidRPr="00E11D68" w:rsidRDefault="008260B9" w:rsidP="002369E5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Начальным этапом метода прямого сравнения продаж являетсяизучение рынка и сбор информации об объектах-аналогах, т.е.таких объектах, которые схожи с оцениваемым. 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После того, как определены объекты-аналоги, необходимоподобрать единицы сравнения, поскольку количественные характеристики объекта оценки и аналогов отличаются. В даннойкурсовой работе будем оперировать ценой за единицу площади, т.е.единицей сравнения будет цена 1 м2.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Следующим этапом метода прямого сравнения продаж являетсявнесение поправок на выделенные различия в ценообразующиххарактеристиках сравниваемых объектов. На данном этапе требуетсяответить на вопрос, за какую сумму был бы продан аналог, обладай онтеми же характеристиками, что и объект оценки.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Основное правило внесения процентных поправок: еслиоцениваемый объект лучше сопоставимого аналога, то к ценепоследнего вносится повышающий коэффициент, если хуже понижающий коэффициент.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Внося поправки, необходимо помнить, что корректировкамподвергаются объекты-аналог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и, объект оценки никогда не под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вергается корректировкам.</w:t>
      </w:r>
    </w:p>
    <w:p w:rsidR="00E57337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При внесении поправок необходимо подвергнуть корректировкам каждую отличающуюся характеристику - элемент сравнения. Элементы сравнения принято делить на две группы. 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Первая группа -элементы, относящиеся к условиям сделки и состоянию рынка (поправки проводятся путем применения каждой последующей поправки к предыдущему результату скорректированной цены).Первая группа включает в себя: состав передаваемых прав собственности, условия финансирования сделки, условия продажи, время продажи.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Вторая группа - элементы, относящиеся непосредственно к объекту недвижимости (производятся путем применения поправок каждого элемента к результату, полученному после корректировки на условия рынка, в произвольном порядке). Состав второй группы: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местоположение, физические и экономические характеристики, дополнительные компоненты.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Для вывода о стоимости земельного участка необходимопровести согласование полученных скорректированных цен.Согласование - это не усреднение полученных промежуточныхрезультатов, а процесс взвешивания и сравнения показателей с иххарактеристиками. Согласование проводится в соответствии симеющимися отличиями аналогов от оцениваемого объекта.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Для согласования широко используются различные методы. Вчастности, суждение о стоимости объекта можно принять врезультате анализа четырех показателей: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  1) среднего арифметического значения скорректированных цен;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2) модального значения. Мода - наиболее часто встречающееся значение в числовом ряду. Могут быть взяты наиболее близкие часто встречающиеся вместе значения;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3) медианного значения. Медиана - середина ранжированного числового ряда. Для определения медианы необходимозаписать все цены от минимального до максимального значения ивыбрать значение, находящееся в центре ряда, либо среднее междудвумя — при четном количестве значений;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4) скорректированной цены самого похожего на оцениваемыйобъект аналога. Чем меньше количество и величина поправок,тем больше аналог похож на объект оценки.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Стоимость земельного участка в итоге принимается как среднееарифметическое между значениями приведенных выше показателей.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Следующий этап затратного подхода - расчет издержек,необходимых на воспроизводство нового здания, являющегося точнойкопией оцениваемого. Один из методов оценки стоимости новогостроительства - метод укрупненных обобщенных показателейстоимости на единицу сравнения.</w:t>
      </w:r>
    </w:p>
    <w:p w:rsidR="008260B9" w:rsidRPr="00E11D68" w:rsidRDefault="008260B9" w:rsidP="00B86CFE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 качестве единицы сравнения в данной работе принимается 1 м2.Для получения стоимости нового строительства объекта оценкивеличина укрупненного обобщенного показателя стоимостиумножается на количество единиц сравнения объекта оценки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При расчете стоимости нового строительства необходимо учестьследующую информацию: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заработная плата составляет 35 % от стоимости материалов;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накладные расходы - 25 % от прямых затрат;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прибыль подрядчика - 12 % от суммы прямых и накладных затрат;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оплата услуг проектно-сметных организаций - 5 % отпрямых затрат;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маркетинговые, рекламные, страховые расходы - 6 % отцены подрядчика;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затраты на покупку энергетических мощностей - 10 % отцены подрядчика;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налоги (НДС) - 18 % от суммы всех предыдущих затрат;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прибыль инвестора - 30 % от понесенных расходов.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Следующим этапом затратного подхода является оценкаизноса. Термин «износ» в теории оценки понимается как утратаполезности объекта, а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,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следовательно, и его стоимости. Дляоценки накопленного износа применяется метод разбивки, сутькоторого состоит в определении величины трех видов износа:физического, функционального и внешнего.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При определении общей величины накопленного износаметодом разбивки используется формула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ИН = 1 - (1 – ИФИЗ/100) х (1 – ИФУНК/100) х (1 – ИВН/100), (2)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где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 xml:space="preserve"> ИФИЗ - физический износ здания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%;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ИФУН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К - функциональный износ здания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%;</w:t>
      </w:r>
    </w:p>
    <w:p w:rsidR="008260B9" w:rsidRPr="00E11D68" w:rsidRDefault="00E57337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ИВН - внешний износ здания</w:t>
      </w:r>
      <w:r w:rsidR="008260B9"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%.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Физический износ определяется нормативным методом.</w:t>
      </w:r>
    </w:p>
    <w:p w:rsidR="008260B9" w:rsidRPr="00E11D68" w:rsidRDefault="008260B9" w:rsidP="002369E5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Метод предполагает использование нормативных инструкций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Для оценки физического износа необходимо изучить степень повреждения конструктивных элементов здания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Итоговая величина износа по каждому элементу определяетсяпутем умножения удельного веса соответствующего элемента назначение износа. Итоговая величина физического износа всего зданияопределяется суммированием.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Делается вывод о состоянии здания: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хорошее - если физический износ определен в размере до20 %;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удовлетворительное - если физический износ определен вразмере от 20 до 40 %.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Функциональный износ здания оценивается студентом самостоятельно в интервале от 1 до 5 %. При этом на основе изученияспециальной литературы необходимо объяснить оцененную величинус описанием конкретных признаков функционального износа.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Внешний износ оценивается аналогично функциональному винтервале от 1 до 10 %.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    Процентное значение накопленного износа определяется поформуле (2).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Для оценки стоимостного значения накопленного износаполученный процент применяется к величине стоимости новогостроительства здания.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 завершение данного подраздела необходимо вывести результатстоимости объекта, оцененный в рамках затратного подхода. Дляэтого используется формула (1).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Pr="00E57337" w:rsidRDefault="008260B9" w:rsidP="00E57337">
      <w:pPr>
        <w:tabs>
          <w:tab w:val="left" w:pos="8931"/>
        </w:tabs>
        <w:ind w:firstLine="425"/>
        <w:jc w:val="center"/>
        <w:rPr>
          <w:rFonts w:ascii="Times New Roman" w:hAnsi="Times New Roman" w:cs="Times New Roman"/>
          <w:b/>
          <w:i/>
          <w:color w:val="424242"/>
          <w:sz w:val="24"/>
          <w:szCs w:val="24"/>
        </w:rPr>
      </w:pPr>
      <w:r w:rsidRPr="00E57337">
        <w:rPr>
          <w:rFonts w:ascii="Times New Roman" w:hAnsi="Times New Roman" w:cs="Times New Roman"/>
          <w:b/>
          <w:i/>
          <w:color w:val="424242"/>
          <w:sz w:val="24"/>
          <w:szCs w:val="24"/>
        </w:rPr>
        <w:t>3.4.2. Использование сравнительного подхода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Сравнительный подход основан на определении стоимостинедвижимости на основе сравнительного анализа рыночныхданных о продажах аналогичных объектов.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Одним из методов данного подхода является метод прямогосравнения продаж, который в данной курсовой работе использовался для оценки стоимости земельного участка. Применениеметода прямого сравнения продаж в рамках сравнительногоподхода подразумевает сравнение оцениваемого объекта (зданиявместе с земельным участком) с аналогами, при этом суть методаи порядок расчета остаются теми же.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Элементы сравнения объектов-аналогов относятся ко второйгруппе - относящиеся непосредственно к объекту недвижимости.Предполагается, что условия сделки и состояние рынка былипохожи. В качестве единицы сравнения необходимо принять все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здание.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На основании сравнительного анализа цен продаж известно, чторазличия в ценах аналогичных объектов коммерческой недвижимости за счет местоположения следующие:</w:t>
      </w:r>
    </w:p>
    <w:p w:rsidR="008260B9" w:rsidRPr="00E11D68" w:rsidRDefault="00E57337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- 1</w:t>
      </w:r>
      <w:r w:rsidR="008260B9" w:rsidRPr="00E11D68">
        <w:rPr>
          <w:rFonts w:ascii="Times New Roman" w:hAnsi="Times New Roman" w:cs="Times New Roman"/>
          <w:color w:val="424242"/>
          <w:sz w:val="24"/>
          <w:szCs w:val="24"/>
        </w:rPr>
        <w:t>5 % между расположенными в отдаленном районе и районесредней отдаленности;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- 10 % между центром и районом средней отдаленности.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Поправки на состояние объекта и условия транспортнойдоступности необходимо определить путем анализа подобран</w:t>
      </w:r>
      <w:r w:rsidR="002369E5">
        <w:rPr>
          <w:rFonts w:ascii="Times New Roman" w:hAnsi="Times New Roman" w:cs="Times New Roman"/>
          <w:color w:val="424242"/>
          <w:sz w:val="24"/>
          <w:szCs w:val="24"/>
        </w:rPr>
        <w:t xml:space="preserve">ных аналогов. 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Для этого используется метод парных продаж.Под парной продажей подразумевается продажа двух объектов, видеале являющихся точной копией друг друга, за исключением однойхарактеристики, наличием которой</w:t>
      </w:r>
      <w:r w:rsidR="00B86CFE">
        <w:rPr>
          <w:rFonts w:ascii="Times New Roman" w:hAnsi="Times New Roman" w:cs="Times New Roman"/>
          <w:color w:val="424242"/>
          <w:sz w:val="24"/>
          <w:szCs w:val="24"/>
        </w:rPr>
        <w:t xml:space="preserve"> и 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объясняется разница в ценахэтих объектов.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При определении поправок необходимо учесть: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1) поправки определяются исходя из цен, приведенных к оцениваемому объекту по количественным характеристикам;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2) подбираются пары аналогов, имеющие только одно отличие,например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,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одинаковое местоположение и транспортная доступность, но разное состояние;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3) при определении поправок по той или иной характеристикевсегда делить цены аналогов с одинаковой с объектом оценки характеристикой на це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ну аналога с отличающейся харак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теристикой.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После определения поправок необходимо сделать вывод оразличиях в ценах за счет той или иной характеристики (состояние итранспортная доступность) в процентах для каждого района города.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Данный метод позволяет рассчитать поправку на отличающуюсяхарактеристику и затем использовать ее для корректировки на этотпараметр цены продажи сопоставимого с объектом оценки объектааналога.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Скорректированные цены аналогов определяются с учетом всех</w:t>
      </w:r>
      <w:r w:rsidR="00E57337">
        <w:rPr>
          <w:rFonts w:ascii="Times New Roman" w:hAnsi="Times New Roman" w:cs="Times New Roman"/>
          <w:color w:val="424242"/>
          <w:sz w:val="24"/>
          <w:szCs w:val="24"/>
        </w:rPr>
        <w:t>п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оправок</w:t>
      </w:r>
      <w:r w:rsidR="002369E5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Затем необходимо провести согласование полученныхцен. Для этого анализируются </w:t>
      </w:r>
      <w:r w:rsidR="002369E5">
        <w:rPr>
          <w:rFonts w:ascii="Times New Roman" w:hAnsi="Times New Roman" w:cs="Times New Roman"/>
          <w:color w:val="424242"/>
          <w:sz w:val="24"/>
          <w:szCs w:val="24"/>
        </w:rPr>
        <w:t>пол</w:t>
      </w:r>
      <w:r w:rsidR="00C4202F">
        <w:rPr>
          <w:rFonts w:ascii="Times New Roman" w:hAnsi="Times New Roman" w:cs="Times New Roman"/>
          <w:color w:val="424242"/>
          <w:sz w:val="24"/>
          <w:szCs w:val="24"/>
        </w:rPr>
        <w:t xml:space="preserve">ученные 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показатели, атакже рассчитывается скорректированная цена с учетом весовыхкоэффициентов.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 завершение данного подраздела необходимо вывести результатстоимости объекта, оцененный в рамках сравнительного подхода. Дляэтого находится среднее арифметическое между пятью ценами,полученными в процессе согласования.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Pr="00E57337" w:rsidRDefault="008260B9" w:rsidP="00E57337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i/>
          <w:color w:val="424242"/>
          <w:sz w:val="24"/>
          <w:szCs w:val="24"/>
        </w:rPr>
      </w:pPr>
      <w:r w:rsidRPr="00E57337">
        <w:rPr>
          <w:rFonts w:ascii="Times New Roman" w:hAnsi="Times New Roman" w:cs="Times New Roman"/>
          <w:b/>
          <w:i/>
          <w:color w:val="424242"/>
          <w:sz w:val="24"/>
          <w:szCs w:val="24"/>
        </w:rPr>
        <w:t>3.4.3. Использование доходного подхода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    Доходный подход заключается в преобразовании в текущуюстоимость недвижимости ожидаемых выгод, которые может принестииспользование или будущая продажа объекта. Для определениястоимости    объекта   оценки    используется  метод    прямойкапитализации дохода.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Преобразование будущих доходов в текущую величинустоимости осуществляется по формуле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СДП = ЧОД/ККАП,                      (3)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где С ДП   - стоимость объекта недвижимости, определенная врамках доходного подхода, тыс. р.;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       ЧОД - чистый операционный доход оцениваемого объектаза год, тыс. р.;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       ККАП - коэффициент капитализации.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Для определения ЧОД следует рассчитать потенциальный иэффективный валовые доходы.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Потенциальный валовой доход (ПВД) - это сумма всехожидаемых поступлений от сдачи объекта в аренду. ПВД определяется за год с учетом ставок аренды, при этом длязданий, находящихся в удовлетворительном состоянии, ставку</w:t>
      </w:r>
      <w:r w:rsidR="0019047D">
        <w:rPr>
          <w:rFonts w:ascii="Times New Roman" w:hAnsi="Times New Roman" w:cs="Times New Roman"/>
          <w:color w:val="424242"/>
          <w:sz w:val="24"/>
          <w:szCs w:val="24"/>
        </w:rPr>
        <w:t>необходимо снизить на 30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%.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Эффективный валовой доход (ЭВД) - это величина, равнаяПВД, за вычетом потерь от недозагрузки объекта и недосбороварендной платы.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ЧОД представляет собой рассчитанную устойчивую величину ожидаемого чистого годового дохода, полученного от объекта оценки после вычета всех операционных расходов (ОР) ирезервов.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     Коэффициент капитализации определяется с учетом возмещения капитальных затрат. Коэффициент состоит из двух частей: ставки доходности на капитал и нормы возврата инвестированного капитала.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Для расчета ставки дохода используется метод кумулятивного построения, который состоит в суммировании ставкидохода и рисков, присущих объекту недвижимости.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Возмещение инвестированного капитала осуществляетсяпрямолинейно (метод Ринга). Годовая норма возврата капиталарассчитывается путем деления 100 %-ной стоимости объекта наостающийся срок полезной жизни. Остающийся срок полезнойжизни объекта принимается равным от 10 до 30 лет взависимости от привлекательности оцениваемойнедвижимости, (оценивается студентом самостоятельно,объяснения приводятся в работе).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 завершение данного п</w:t>
      </w:r>
      <w:r w:rsidR="00B86CFE">
        <w:rPr>
          <w:rFonts w:ascii="Times New Roman" w:hAnsi="Times New Roman" w:cs="Times New Roman"/>
          <w:color w:val="424242"/>
          <w:sz w:val="24"/>
          <w:szCs w:val="24"/>
        </w:rPr>
        <w:t>одраздела необходимо вывести ре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зультат стоимости объекта, оцененный в рамках доходного подхода. Для этого используется формула (3).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Default="008260B9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19047D">
        <w:rPr>
          <w:rFonts w:ascii="Times New Roman" w:hAnsi="Times New Roman" w:cs="Times New Roman"/>
          <w:b/>
          <w:color w:val="424242"/>
          <w:sz w:val="24"/>
          <w:szCs w:val="24"/>
        </w:rPr>
        <w:t>3.5. Сведение стоимостных показателей в итоговую оценкустоимости недвижимости</w:t>
      </w:r>
    </w:p>
    <w:p w:rsidR="0019047D" w:rsidRPr="0019047D" w:rsidRDefault="0019047D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После определения сто</w:t>
      </w:r>
      <w:r w:rsidR="0080620E">
        <w:rPr>
          <w:rFonts w:ascii="Times New Roman" w:hAnsi="Times New Roman" w:cs="Times New Roman"/>
          <w:color w:val="424242"/>
          <w:sz w:val="24"/>
          <w:szCs w:val="24"/>
        </w:rPr>
        <w:t>имости недвижимости тремя подхо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дами к оценке, необходимо свести полученные стоимостныепоказатели в итоговую оценку стоимости объекта. При этомследует учитывать, что каждый из подходов имеет своисильные и слабые стороны при применении к конкретнойситуации.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Для каждого из подходов к оценке выбирается вес. Приэтом учитывается значимость и применимость каждого подхода вконкретной ситуации. Ос</w:t>
      </w:r>
      <w:r w:rsidR="0019047D">
        <w:rPr>
          <w:rFonts w:ascii="Times New Roman" w:hAnsi="Times New Roman" w:cs="Times New Roman"/>
          <w:color w:val="424242"/>
          <w:sz w:val="24"/>
          <w:szCs w:val="24"/>
        </w:rPr>
        <w:t>новные элементы сравнения: соот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ветствие целям оценки, достоверность и достаточность используемой для анализа информации, соответствие оцениваемомутипу и характеру использования недвижимости.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 Студенту необходимо самостоятельно определить весовыекоэффициенты значимости результатов каждого подхода, соответствующие объяснения должны быть приведены в работе. Например: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затратный подход имеет наименьший вес и принимаетсяравным 5 %, так как дисбаланс спроса и предложения нарынке таких объектов приводит к превышению рыночных арендных ставок и цен продаж над восстановительными издержками;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  - анализ проводился на основе достоверной информации одостаточном количестве сопоставимых объектов, поэтомуудельный вес подхода сравнительного анализа продаж в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>итоговом согласовании будет наибольшим и составит 85 %;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оцениваемый объект относится к доходной недвижимости.Однако использованные в расчетах прогнозы и данные о доходах могут быть неточны, поэтому вес доходного подходавыше, чем затратного, и ниже, чем подхода сравнительногоанализа продаж, и принимается равным 10 %.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Данные о сведении полученных результатов в итоговуюстоимость оцениваемого объекта заносятся в </w:t>
      </w:r>
      <w:r w:rsidR="00C4202F">
        <w:rPr>
          <w:rFonts w:ascii="Times New Roman" w:hAnsi="Times New Roman" w:cs="Times New Roman"/>
          <w:color w:val="424242"/>
          <w:sz w:val="24"/>
          <w:szCs w:val="24"/>
        </w:rPr>
        <w:t xml:space="preserve">итоговую 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табл</w:t>
      </w:r>
      <w:r w:rsidR="00C4202F">
        <w:rPr>
          <w:rFonts w:ascii="Times New Roman" w:hAnsi="Times New Roman" w:cs="Times New Roman"/>
          <w:color w:val="424242"/>
          <w:sz w:val="24"/>
          <w:szCs w:val="24"/>
        </w:rPr>
        <w:t>ицу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В завершение необходимо определить величину стоимостиоцениваемого здания в соответствии с поставленной целью оценки.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Pr="0019047D" w:rsidRDefault="008260B9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19047D">
        <w:rPr>
          <w:rFonts w:ascii="Times New Roman" w:hAnsi="Times New Roman" w:cs="Times New Roman"/>
          <w:b/>
          <w:color w:val="424242"/>
          <w:sz w:val="24"/>
          <w:szCs w:val="24"/>
        </w:rPr>
        <w:t>3.6. Заключение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8260B9" w:rsidRPr="00E11D68" w:rsidRDefault="008260B9" w:rsidP="00E11D68">
      <w:pPr>
        <w:pStyle w:val="HTML"/>
        <w:tabs>
          <w:tab w:val="clear" w:pos="6412"/>
          <w:tab w:val="clear" w:pos="8244"/>
          <w:tab w:val="left" w:pos="8222"/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Данный раздел должен содержать степень достижения поставленной цели курсовой работы и характеристику решенияпоставленных задач.</w:t>
      </w:r>
    </w:p>
    <w:p w:rsidR="008260B9" w:rsidRPr="00E11D68" w:rsidRDefault="008260B9" w:rsidP="00B86CFE">
      <w:pPr>
        <w:pStyle w:val="HTML"/>
        <w:tabs>
          <w:tab w:val="clear" w:pos="6412"/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По каждому разделу необходимо привести основные полученныерезультаты, дать итоговое заключение о величине полученнойстоимости и возможностях ее использования.</w:t>
      </w:r>
    </w:p>
    <w:p w:rsidR="008260B9" w:rsidRPr="00E11D68" w:rsidRDefault="008260B9" w:rsidP="00E11D68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D429A1" w:rsidRPr="002369E5" w:rsidRDefault="00D429A1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2369E5">
        <w:rPr>
          <w:rFonts w:ascii="Times New Roman" w:hAnsi="Times New Roman" w:cs="Times New Roman"/>
          <w:b/>
          <w:color w:val="424242"/>
          <w:sz w:val="24"/>
          <w:szCs w:val="24"/>
        </w:rPr>
        <w:t>Приложения</w:t>
      </w:r>
    </w:p>
    <w:p w:rsidR="00D429A1" w:rsidRPr="002369E5" w:rsidRDefault="00D429A1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2369E5">
        <w:rPr>
          <w:rFonts w:ascii="Times New Roman" w:hAnsi="Times New Roman" w:cs="Times New Roman"/>
          <w:b/>
          <w:color w:val="424242"/>
          <w:sz w:val="24"/>
          <w:szCs w:val="24"/>
        </w:rPr>
        <w:t>1.Рекомендуемые поправки</w:t>
      </w:r>
    </w:p>
    <w:p w:rsidR="00D429A1" w:rsidRPr="00E11D68" w:rsidRDefault="00D429A1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color w:val="424242"/>
          <w:sz w:val="24"/>
          <w:szCs w:val="24"/>
        </w:rPr>
      </w:pP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  Размер величины поправок, необходимых для расчета скорректированных цен земельных участков, определен по результатамисследования рынка: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наличие сервитута (обременения) снижает стоимость на12 %, по причине дополнительных процедур согласованиягосударственные объекты стоят на 10 % меньше частных;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кредиты предоставляются под 15 %;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условия срочной продажи изменяют цену на 10 %, присделке между партнерами по бизнесу цена была заниженана 8 %, особая заинтерес</w:t>
      </w:r>
      <w:r w:rsidR="0019047D">
        <w:rPr>
          <w:rFonts w:ascii="Times New Roman" w:hAnsi="Times New Roman" w:cs="Times New Roman"/>
          <w:color w:val="424242"/>
          <w:sz w:val="24"/>
          <w:szCs w:val="24"/>
        </w:rPr>
        <w:t>ованность покупателя при приоб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>ретении соседнего участка для расширения бизнеса позволила продавцу завысить цену на 7 %;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за 3 мес. цены на рынке возросли на 2 %, за 6 мес. </w:t>
      </w:r>
      <w:r w:rsidR="005B4419">
        <w:rPr>
          <w:rFonts w:ascii="Times New Roman" w:hAnsi="Times New Roman" w:cs="Times New Roman"/>
          <w:color w:val="424242"/>
          <w:sz w:val="24"/>
          <w:szCs w:val="24"/>
        </w:rPr>
        <w:t>–</w:t>
      </w: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на4 % , з а 9 м е с- на 8 % 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разница в ценах по районам: цен.и с/о - 20 %, с/о и отд. -10%, цен. и отд.-30%;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разница в ценах при наличии асфальтобетонного покрытияна площади до 10 % участка по сравнению с площадью до30 % составляет 2 %, до 30 % по сравнению с площадью до50 % - 3 %, до 10 % по сравнению с площадью до 50 % - 5 %;</w:t>
      </w:r>
    </w:p>
    <w:p w:rsidR="00D429A1" w:rsidRPr="00E11D68" w:rsidRDefault="00D429A1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E11D68">
        <w:rPr>
          <w:rFonts w:ascii="Times New Roman" w:hAnsi="Times New Roman" w:cs="Times New Roman"/>
          <w:color w:val="424242"/>
          <w:sz w:val="24"/>
          <w:szCs w:val="24"/>
        </w:rPr>
        <w:t xml:space="preserve">  - разница в ценах между низк. и сред, несущей способностью грунтов - 3 %, сред.ивыс. - 4 %, низк. и выс. - 7 %.</w:t>
      </w:r>
    </w:p>
    <w:p w:rsidR="0019047D" w:rsidRDefault="0019047D" w:rsidP="00D429A1">
      <w:pPr>
        <w:pStyle w:val="HTML"/>
        <w:tabs>
          <w:tab w:val="left" w:pos="8931"/>
        </w:tabs>
        <w:jc w:val="both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19047D" w:rsidRDefault="0019047D">
      <w:pP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424242"/>
          <w:sz w:val="24"/>
          <w:szCs w:val="24"/>
        </w:rPr>
        <w:br w:type="page"/>
      </w:r>
    </w:p>
    <w:p w:rsidR="00D429A1" w:rsidRPr="0019047D" w:rsidRDefault="0019047D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24242"/>
          <w:sz w:val="24"/>
          <w:szCs w:val="24"/>
        </w:rPr>
        <w:lastRenderedPageBreak/>
        <w:t>Примерные темы курсовых работ</w:t>
      </w:r>
    </w:p>
    <w:p w:rsidR="00D429A1" w:rsidRPr="0019047D" w:rsidRDefault="00D429A1" w:rsidP="0019047D">
      <w:pPr>
        <w:pStyle w:val="HTML"/>
        <w:tabs>
          <w:tab w:val="left" w:pos="8931"/>
        </w:tabs>
        <w:jc w:val="center"/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</w:pP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1. Оценка рыночной стоимости складского помещения, расположенного на окраине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2. Оценка рыночной стоимости офиса, расположенного в центре города,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3. Оценка рыночной стоимости магазина, расположенного в районе средней отдалённости,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4. Оценка рыночной стоимости складского помещения, расположенного в центре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5. Оценка рыночной стоимости офиса,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6. Оценка рыночной стоимости магазина, расположенного в районе средней отдалённости,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7. Оценка рыночной стоимости складского помещения, на окраине города,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8. Оценка рыночной стоимости офиса, расположенного на окраине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9. Оценка рыночной стоимости магазина,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10.Оценка рыночной стоимости складского помещения, расположенного в центре города,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11.Оценка рыночной стоимости офиса, расположенного на окраине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12.Оценка рыночной стоимости магазина, расположенного в центре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13.Оценка рыночной стоимости складского помещения, расположенного в районе средней отдалённости,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14.Оценка рыночной стоимости офиса, расположенного в районе среднейотдалённости,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15.Оценка рыночной стоимости магазина,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16.Оценка рыночной стоимости складского помещения, расположенного в районе средней отдалённости,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17.Оценка рыночной стоимости офиса, расположенного на окраине города,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18.Оценка рыночной стоимости магазина, расположенного на окраине города, с целью продажи</w:t>
      </w:r>
    </w:p>
    <w:p w:rsidR="0080620E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lastRenderedPageBreak/>
        <w:t>19.Оценка рыночной стоимости складского помещения,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20.Оценка рыночной стоимости офиса, расположенного в центре города,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21.Оценка рыночной стоимости магазина, расположенного на окраине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22.Оценка рыночной стоимости складского помещения, расположенного в центре города,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23.Оценка рыночной стоимости офиса, расположенного в районе средней отдалённости,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24.Оценка рыночной стоимости магазина,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25.Оценка рыночной стоимости складского помещения, расположенного в районе средней отдалённости,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26.Оценка рыночной стоимости офиса, расположенного в районе средней отдалённости, с целью продажи доли имущества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27.Оценка рыночной стоимости магазина, расположенного на окраине города, для залогового обеспечения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28.Оценка рыночной стоимости складского помещения, расположенного на окраине города, с целью продажи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 xml:space="preserve">29.Оценка рыночной стоимости офиса, расположенного в районе средней отдалённости, с целью продажи </w:t>
      </w:r>
    </w:p>
    <w:p w:rsidR="00D429A1" w:rsidRPr="00E11D68" w:rsidRDefault="00D429A1" w:rsidP="005B4419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68">
        <w:rPr>
          <w:rFonts w:ascii="Times New Roman" w:hAnsi="Times New Roman" w:cs="Times New Roman"/>
          <w:sz w:val="24"/>
          <w:szCs w:val="24"/>
        </w:rPr>
        <w:t>30.Оценка рыночной стоимости магазина, расположенного в районе средней отдалённости, с целью продажи доли имущества</w:t>
      </w:r>
    </w:p>
    <w:p w:rsidR="0019047D" w:rsidRDefault="0019047D" w:rsidP="00E11825">
      <w:pPr>
        <w:rPr>
          <w:rFonts w:ascii="Times New Roman" w:hAnsi="Times New Roman" w:cs="Times New Roman"/>
        </w:rPr>
      </w:pPr>
    </w:p>
    <w:p w:rsidR="0019047D" w:rsidRDefault="00190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E11825" w:rsidRPr="0019047D" w:rsidRDefault="00E11825" w:rsidP="0019047D">
      <w:pPr>
        <w:jc w:val="center"/>
        <w:rPr>
          <w:rFonts w:ascii="Times New Roman" w:hAnsi="Times New Roman" w:cs="Times New Roman"/>
          <w:b/>
        </w:rPr>
      </w:pPr>
      <w:r w:rsidRPr="0019047D">
        <w:rPr>
          <w:rFonts w:ascii="Times New Roman" w:hAnsi="Times New Roman" w:cs="Times New Roman"/>
          <w:b/>
        </w:rPr>
        <w:lastRenderedPageBreak/>
        <w:t>СПИСОК ЛИТЕРАТУРЫ ПО ОЦЕНКЕ НЕДВИЖИМО</w:t>
      </w:r>
      <w:r w:rsidR="0019047D" w:rsidRPr="0019047D">
        <w:rPr>
          <w:rFonts w:ascii="Times New Roman" w:hAnsi="Times New Roman" w:cs="Times New Roman"/>
          <w:b/>
        </w:rPr>
        <w:t>ГО ИМУЩЕСТВА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Белокрыс А.М., Болдырев В.С., Олейник Т.Л., Зарубин В.Н., Нейман Е.И., Склярова Е.Н, Страхов Ю.И., Ушаков Е.П., Федоров А.Е., Школьников Ю.В. «Основы оценки стоимости недвижимости», Международная академия оценки и консалтинга, М. – 2004;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Болдырев В.С., Федоров Л.Е. «Введение в теорию оценки недвижимости», Конспект учебного курса, Изд-во «Азбука», М. – 1997;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Булгаков С.Н., Наназашвили И.Х., Мирошниченко А.С., Дарков А.К., Гольцов И.Н., Дукич Д.Й., Рыбалко И. «Система экспертиз» и оценка объектов недвижимости". М., 2007. - 352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Грязнова А. Г., Федотова М. А. Оценка недвижимости Учебник - 2-е изд., переработанное и доп. М. 2008. 560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Иванова Е.Н. Оценка стоимости недвижимости. Учебное пособие под ред. д-ра экон. наук, проф. Федотовой М.А. М., 2007. - 344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Каминский А.В., Страхов Ю.И., Трейгер Е.М. «Анализ практики оценки недвижимости», Международная академия оценки и консалтинга, М. – 2004;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Калинин В.М., Сокова С.Д. Оценка технического состояния зданий: Учебник. М.: 2006. - 268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Коростылев С.П. «Основы теории и практики оценки недвижимости», Учебное пособие, Изд-во «Русская Деловая Литература», М. – 1998;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Кузьминов Н.Н. Оценка и страхование коммерческой и промышленной недвижимости в Российской Федерации. - М., 2007. - 144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Луков А.В., Владимирова И.Л., Холщевников В.В. Комплексная оценка зданий-памятников истории и культура на рынке недвижимости. Научно-учебное издание: - М., 2006 - 344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Озеров Е.С. Экономический анализ и оценка недвижимости. СПб., 2007. - 536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Ордуэй Н., Фридман Д. Анализ и оценка приносящей доход недвижимости. - М.: Дело, ЛТД. 1995.</w:t>
      </w:r>
    </w:p>
    <w:p w:rsidR="00E11825" w:rsidRPr="00E11825" w:rsidRDefault="00CE5C0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11825" w:rsidRPr="00E1182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Пылаева А.В. Проблемы классификации в кадастровой оценке иналогообложении недвижимости // Общероссийский информационно-аналитический и научно-практический журнал «Имущественные отношения в Российской Федерации» - 2011. №10 (121)</w:t>
        </w:r>
      </w:hyperlink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Рутгайзер В.М. «Оценка рыночной стоимости недвижимости», Изд-во «Дело», М. – 1998;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Симионова Н.Е., Шеина С.Г. «Методы оценки и технической экспертизы недвижимости», Учебное пособие Ростовского государственного строительного университета, Изд. центр г. Ростова-на-Дону «МарТ», М. – 2006. – 448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Тарасевич Е. И. Оценка недвижимости. - С.-П., Санкт-Петербургский технический университет. 1997.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Тарасевич Е.И. «Методы оценки недвижимости», Изд-во ТОО «Технобалт», СПб. – 1995.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Тэпман Л.Н. «Оценка недвижимости», под редакцией В.А. Швандара, Учебное пособие, Изд-во «ЮНИТИ-ДАНА», М. – 2004;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Федотова М. А., Уткин Э. А. Оценка недвижимости и бизнеса. Учебник. – М.: Издательство «ЭКМОС», 2000.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Фридман Д., Ордуэй Н. «Анализ и оценка приносящей доход недвижимости», Изд-во «Дело», М. – 1999;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Харрисон Г.С. «Оценка недвижимости», Учебное пособие, Изд-во РИО «Мособлупрполиграфиздат», М. – 1994;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Шевчук Д.А. Оценка недвижимости и управление собственностью. - Ростов-н/Д., 2007. - 155 с.</w:t>
      </w:r>
    </w:p>
    <w:p w:rsidR="00E11825" w:rsidRPr="00E11825" w:rsidRDefault="00E11825" w:rsidP="0019047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t>Яскевич Е.Е. Практика оценки недвижимости. Москва: Техносфера, 2011. — 504 c.</w:t>
      </w:r>
    </w:p>
    <w:p w:rsidR="008E5DDE" w:rsidRPr="00E11825" w:rsidRDefault="00E11825" w:rsidP="001904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18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8E5DDE" w:rsidRPr="00E11825" w:rsidSect="00E573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77" w:rsidRDefault="006A0B77" w:rsidP="00CE5C05">
      <w:pPr>
        <w:spacing w:after="0" w:line="240" w:lineRule="auto"/>
      </w:pPr>
      <w:r>
        <w:separator/>
      </w:r>
    </w:p>
  </w:endnote>
  <w:endnote w:type="continuationSeparator" w:id="1">
    <w:p w:rsidR="006A0B77" w:rsidRDefault="006A0B77" w:rsidP="00C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77" w:rsidRDefault="006A0B77" w:rsidP="00CE5C05">
      <w:pPr>
        <w:spacing w:after="0" w:line="240" w:lineRule="auto"/>
      </w:pPr>
      <w:r>
        <w:separator/>
      </w:r>
    </w:p>
  </w:footnote>
  <w:footnote w:type="continuationSeparator" w:id="1">
    <w:p w:rsidR="006A0B77" w:rsidRDefault="006A0B77" w:rsidP="00CE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60" w:rsidRDefault="006A0B7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F92"/>
    <w:multiLevelType w:val="multilevel"/>
    <w:tmpl w:val="74986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595B"/>
    <w:multiLevelType w:val="multilevel"/>
    <w:tmpl w:val="96583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147E9"/>
    <w:multiLevelType w:val="multilevel"/>
    <w:tmpl w:val="DAB2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232A"/>
    <w:multiLevelType w:val="multilevel"/>
    <w:tmpl w:val="9064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D10CD"/>
    <w:multiLevelType w:val="hybridMultilevel"/>
    <w:tmpl w:val="74E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BF"/>
    <w:multiLevelType w:val="multilevel"/>
    <w:tmpl w:val="965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2099F"/>
    <w:multiLevelType w:val="multilevel"/>
    <w:tmpl w:val="B962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36AD"/>
    <w:multiLevelType w:val="hybridMultilevel"/>
    <w:tmpl w:val="D9B6B1F8"/>
    <w:lvl w:ilvl="0" w:tplc="1B9EE47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5C75A8D"/>
    <w:multiLevelType w:val="multilevel"/>
    <w:tmpl w:val="3D7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A344A"/>
    <w:multiLevelType w:val="multilevel"/>
    <w:tmpl w:val="69BA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4D1"/>
    <w:multiLevelType w:val="multilevel"/>
    <w:tmpl w:val="1C5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0215F"/>
    <w:multiLevelType w:val="multilevel"/>
    <w:tmpl w:val="EA183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4740D"/>
    <w:multiLevelType w:val="multilevel"/>
    <w:tmpl w:val="E9F62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4704C"/>
    <w:multiLevelType w:val="multilevel"/>
    <w:tmpl w:val="64A4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65125"/>
    <w:multiLevelType w:val="multilevel"/>
    <w:tmpl w:val="6A26A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0B9"/>
    <w:rsid w:val="000253D0"/>
    <w:rsid w:val="000471C1"/>
    <w:rsid w:val="00080629"/>
    <w:rsid w:val="00093F2D"/>
    <w:rsid w:val="000C166A"/>
    <w:rsid w:val="000E4385"/>
    <w:rsid w:val="0011748D"/>
    <w:rsid w:val="00140352"/>
    <w:rsid w:val="0015791C"/>
    <w:rsid w:val="00177943"/>
    <w:rsid w:val="0019047D"/>
    <w:rsid w:val="001A06F4"/>
    <w:rsid w:val="001A5764"/>
    <w:rsid w:val="001F1E35"/>
    <w:rsid w:val="002025E5"/>
    <w:rsid w:val="002369E5"/>
    <w:rsid w:val="002741AB"/>
    <w:rsid w:val="00275D2E"/>
    <w:rsid w:val="00294197"/>
    <w:rsid w:val="002C2B9D"/>
    <w:rsid w:val="00315CFB"/>
    <w:rsid w:val="0031671A"/>
    <w:rsid w:val="00346A50"/>
    <w:rsid w:val="003E27F5"/>
    <w:rsid w:val="003E51D9"/>
    <w:rsid w:val="003F15BC"/>
    <w:rsid w:val="003F45B6"/>
    <w:rsid w:val="004308D8"/>
    <w:rsid w:val="004B2FCD"/>
    <w:rsid w:val="004B446B"/>
    <w:rsid w:val="004D5DF2"/>
    <w:rsid w:val="004E15CD"/>
    <w:rsid w:val="004E2883"/>
    <w:rsid w:val="00522FDC"/>
    <w:rsid w:val="0056034A"/>
    <w:rsid w:val="00585C9B"/>
    <w:rsid w:val="00594E49"/>
    <w:rsid w:val="005A3B00"/>
    <w:rsid w:val="005B4419"/>
    <w:rsid w:val="005D6323"/>
    <w:rsid w:val="006655A0"/>
    <w:rsid w:val="006A0B77"/>
    <w:rsid w:val="00704BA1"/>
    <w:rsid w:val="0071457F"/>
    <w:rsid w:val="0079197E"/>
    <w:rsid w:val="007E77C3"/>
    <w:rsid w:val="007F35F3"/>
    <w:rsid w:val="00805C0A"/>
    <w:rsid w:val="0080620E"/>
    <w:rsid w:val="008145E1"/>
    <w:rsid w:val="008260B9"/>
    <w:rsid w:val="00851619"/>
    <w:rsid w:val="008567B0"/>
    <w:rsid w:val="0085700C"/>
    <w:rsid w:val="008A6B3B"/>
    <w:rsid w:val="008C0E97"/>
    <w:rsid w:val="008D2013"/>
    <w:rsid w:val="008E5DDE"/>
    <w:rsid w:val="008F7255"/>
    <w:rsid w:val="0090105A"/>
    <w:rsid w:val="009107D6"/>
    <w:rsid w:val="009222F3"/>
    <w:rsid w:val="00922E2E"/>
    <w:rsid w:val="00945941"/>
    <w:rsid w:val="009571D8"/>
    <w:rsid w:val="0098385C"/>
    <w:rsid w:val="0098799A"/>
    <w:rsid w:val="009B7273"/>
    <w:rsid w:val="009D719E"/>
    <w:rsid w:val="009E126E"/>
    <w:rsid w:val="00A02111"/>
    <w:rsid w:val="00A2695C"/>
    <w:rsid w:val="00A33E08"/>
    <w:rsid w:val="00AD50D8"/>
    <w:rsid w:val="00AE5EAC"/>
    <w:rsid w:val="00AF748D"/>
    <w:rsid w:val="00B14207"/>
    <w:rsid w:val="00B2773D"/>
    <w:rsid w:val="00B86CFE"/>
    <w:rsid w:val="00B93CF6"/>
    <w:rsid w:val="00BD2C0A"/>
    <w:rsid w:val="00BF4285"/>
    <w:rsid w:val="00C11DE0"/>
    <w:rsid w:val="00C129EB"/>
    <w:rsid w:val="00C15071"/>
    <w:rsid w:val="00C2101C"/>
    <w:rsid w:val="00C4202F"/>
    <w:rsid w:val="00C70D98"/>
    <w:rsid w:val="00CB3CA1"/>
    <w:rsid w:val="00CD3C49"/>
    <w:rsid w:val="00CE5110"/>
    <w:rsid w:val="00CE5C05"/>
    <w:rsid w:val="00D056E7"/>
    <w:rsid w:val="00D24AC6"/>
    <w:rsid w:val="00D429A1"/>
    <w:rsid w:val="00D50922"/>
    <w:rsid w:val="00D577CD"/>
    <w:rsid w:val="00D63F8A"/>
    <w:rsid w:val="00D73A4F"/>
    <w:rsid w:val="00D75B19"/>
    <w:rsid w:val="00D92D28"/>
    <w:rsid w:val="00DC12C0"/>
    <w:rsid w:val="00DE56A6"/>
    <w:rsid w:val="00DF3F04"/>
    <w:rsid w:val="00E10AD6"/>
    <w:rsid w:val="00E11825"/>
    <w:rsid w:val="00E11D68"/>
    <w:rsid w:val="00E1689F"/>
    <w:rsid w:val="00E415D0"/>
    <w:rsid w:val="00E57337"/>
    <w:rsid w:val="00E62F46"/>
    <w:rsid w:val="00EB4355"/>
    <w:rsid w:val="00EB7C72"/>
    <w:rsid w:val="00EE0A9E"/>
    <w:rsid w:val="00EE28F9"/>
    <w:rsid w:val="00EE3CC4"/>
    <w:rsid w:val="00EF0E07"/>
    <w:rsid w:val="00EF4F8E"/>
    <w:rsid w:val="00EF64ED"/>
    <w:rsid w:val="00EF7E6C"/>
    <w:rsid w:val="00F665A9"/>
    <w:rsid w:val="00FA4311"/>
    <w:rsid w:val="00FE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C"/>
  </w:style>
  <w:style w:type="paragraph" w:styleId="1">
    <w:name w:val="heading 1"/>
    <w:basedOn w:val="a"/>
    <w:next w:val="a"/>
    <w:link w:val="10"/>
    <w:uiPriority w:val="9"/>
    <w:qFormat/>
    <w:rsid w:val="00E11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6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26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60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basedOn w:val="a0"/>
    <w:rsid w:val="008260B9"/>
  </w:style>
  <w:style w:type="character" w:customStyle="1" w:styleId="apple-converted-space">
    <w:name w:val="apple-converted-space"/>
    <w:basedOn w:val="a0"/>
    <w:rsid w:val="008260B9"/>
  </w:style>
  <w:style w:type="character" w:customStyle="1" w:styleId="submenu-table">
    <w:name w:val="submenu-table"/>
    <w:basedOn w:val="a0"/>
    <w:rsid w:val="008260B9"/>
  </w:style>
  <w:style w:type="character" w:customStyle="1" w:styleId="40">
    <w:name w:val="Заголовок 4 Знак"/>
    <w:basedOn w:val="a0"/>
    <w:link w:val="4"/>
    <w:uiPriority w:val="9"/>
    <w:rsid w:val="00826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60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2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11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E11D68"/>
  </w:style>
  <w:style w:type="character" w:customStyle="1" w:styleId="spelle">
    <w:name w:val="spelle"/>
    <w:basedOn w:val="a0"/>
    <w:rsid w:val="00E11D68"/>
  </w:style>
  <w:style w:type="paragraph" w:styleId="a6">
    <w:name w:val="List Paragraph"/>
    <w:basedOn w:val="a"/>
    <w:uiPriority w:val="34"/>
    <w:qFormat/>
    <w:rsid w:val="00EB7C72"/>
    <w:pPr>
      <w:ind w:left="720"/>
      <w:contextualSpacing/>
    </w:pPr>
  </w:style>
  <w:style w:type="table" w:styleId="a7">
    <w:name w:val="Table Grid"/>
    <w:basedOn w:val="a1"/>
    <w:uiPriority w:val="59"/>
    <w:rsid w:val="0080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11825"/>
    <w:rPr>
      <w:color w:val="0000FF"/>
      <w:u w:val="single"/>
    </w:rPr>
  </w:style>
  <w:style w:type="paragraph" w:styleId="a9">
    <w:name w:val="header"/>
    <w:basedOn w:val="a"/>
    <w:link w:val="aa"/>
    <w:rsid w:val="009222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22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-khv.ucoz.ru/index/problemy_klassifikacii_v_kadastrovoj_ocenke_i_nalogooblozhenii_nedvizhimosti/0-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7147-D74C-405E-93AB-C0ED268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просвещение</cp:lastModifiedBy>
  <cp:revision>5</cp:revision>
  <dcterms:created xsi:type="dcterms:W3CDTF">2013-11-21T06:05:00Z</dcterms:created>
  <dcterms:modified xsi:type="dcterms:W3CDTF">2017-07-06T13:22:00Z</dcterms:modified>
</cp:coreProperties>
</file>